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Enrietti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MYLAN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CANONSBURG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15317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Viatris Inc</w:t>
              </w:r>
            </w:hyperlink>
            <w:r>
              <w:rPr/>
              <w:t xml:space="preserve"> [ </w:t>
            </w:r>
            <w:r>
              <w:rPr>
                <w:rFonts w:ascii="Times;serif" w:hAnsi="Times;serif"/>
                <w:color w:val="0000FF"/>
                <w:sz w:val="24"/>
                <w:shd w:fill="FFFFFF" w:val="clear"/>
              </w:rPr>
              <w:t>VTRS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25,134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244,811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10,931</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233,880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999</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234,879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435</w:t>
            </w:r>
            <w:r>
              <w:rPr>
                <w:rFonts w:ascii="Times;serif" w:hAnsi="Times;serif"/>
                <w:color w:val="008000"/>
                <w:position w:val="7"/>
                <w:sz w:val="16"/>
                <w:sz w:val="20"/>
                <w:shd w:fill="FFFFFF" w:val="clear"/>
              </w:rPr>
              <w:t>(3)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234,444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7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981"/>
        <w:gridCol w:w="906"/>
        <w:gridCol w:w="801"/>
        <w:gridCol w:w="891"/>
        <w:gridCol w:w="1041"/>
        <w:gridCol w:w="801"/>
        <w:gridCol w:w="936"/>
        <w:gridCol w:w="831"/>
        <w:gridCol w:w="846"/>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50,267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998.3636</w:t>
            </w:r>
            <w:r>
              <w:rPr>
                <w:rFonts w:ascii="Times;serif" w:hAnsi="Times;serif"/>
                <w:color w:val="008000"/>
                <w:position w:val="7"/>
                <w:sz w:val="16"/>
                <w:sz w:val="20"/>
                <w:shd w:fill="FFFFFF" w:val="clear"/>
              </w:rPr>
              <w:t>(5)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998.3636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1,997</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withholding of shares of common stock for the tax liability associated with the vesting and settlement of a portion of the restricted stock units (RSUs) granted on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Fractional shares have been rounded up in connection with the settlement described in footnote 6 pursuant to the terms of the RSU award agreement under the Viatris Inc. 2020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withholding of shares of common stock for the tax liability associated with the vesting and settlement of a portion of the dividend equivalent units (DEUs) that accrued with respect to the RSUs previously granted on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the right to receive one share of common stock of Viatris Inc. (Viatris). 25,134 of the RSUs granted on August 15, 2025 vested on August 15, 2026, 25,133 will vest on August 15, 2027 and 25,134 will vest on August 15,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Amount represents DEUs that accrued with respect to such RSUs in transactions exempt from Section 16 under Rule 16a-11.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DEUs that accrued with respect to the RSUs previously granted on August 15, 2025 and vest on the same schedule as the underlying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Administrative and Transformation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Macikowski,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2085" TargetMode="External"/><Relationship Id="rId5" Type="http://schemas.openxmlformats.org/officeDocument/2006/relationships/hyperlink" Target="http://www.sec.gov/cgi-bin/browse-edgar?action=getcompany&amp;CIK=0001792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4351</Characters>
  <CharactersWithSpaces>5051</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