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SIMMONS DAVID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 MYLAN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CANONSBURG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15317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Viatris Inc</w:t>
              </w:r>
            </w:hyperlink>
            <w:r>
              <w:rPr/>
              <w:t xml:space="preserve"> [ </w:t>
            </w:r>
            <w:r>
              <w:rPr>
                <w:rFonts w:ascii="Times;serif" w:hAnsi="Times;serif"/>
                <w:color w:val="0000FF"/>
                <w:sz w:val="24"/>
                <w:shd w:fill="FFFFFF" w:val="clear"/>
              </w:rPr>
              <w:t>VTRS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276"/>
        <w:gridCol w:w="906"/>
        <w:gridCol w:w="801"/>
        <w:gridCol w:w="891"/>
        <w:gridCol w:w="98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17.72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Dividend Equivalent DSUs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16.6533</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16.6533</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the reporting person was automatically granted 2,117 deferred stock units (DSUs) pursuant to the reporting person's election to receive payment of quarterly non-employee director fees in the form of DSUs. This grant was made in lieu of cash fees, based on the September 30, 2026 closing price of $17.72 per share of common stock of Viatris Inc. (Viatris). Each DSU is fully vested and represents the right to receive one share of common stock of Viatris. The DSUs settle in shares of common stock upon the earliest of the reporting person's termination of service as a non-employee director, the reporting person's death or disability, or a change in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DSUs that accrued with respect to DSUs previously granted to the reporting person with respect to the election to receive payment of quarterly director fees in the form of DSUs and vest on the same schedule as the underlying DSUs. Amount represents dividend equivalent DSUs that accrued with respect to such DSUs in transactions exempt from Section 16 under Rule 16a-11.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Macikowski,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8519" TargetMode="External"/><Relationship Id="rId5" Type="http://schemas.openxmlformats.org/officeDocument/2006/relationships/hyperlink" Target="http://www.sec.gov/cgi-bin/browse-edgar?action=getcompany&amp;CIK=00017920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4054</Characters>
  <CharactersWithSpaces>4732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